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5ED3" w14:textId="51C93B38" w:rsidR="006A02D0" w:rsidRPr="00A607EA" w:rsidRDefault="00A607EA">
      <w:pPr>
        <w:rPr>
          <w:b/>
          <w:bCs/>
          <w:lang w:val="en-US"/>
        </w:rPr>
      </w:pPr>
      <w:r w:rsidRPr="00A607EA">
        <w:rPr>
          <w:b/>
          <w:bCs/>
          <w:lang w:val="en-US"/>
        </w:rPr>
        <w:t xml:space="preserve">The fine wine market in </w:t>
      </w:r>
      <w:r w:rsidR="00AB0D95">
        <w:rPr>
          <w:b/>
          <w:bCs/>
          <w:lang w:val="en-US"/>
        </w:rPr>
        <w:t>Q1 2023</w:t>
      </w:r>
    </w:p>
    <w:p w14:paraId="7161D340" w14:textId="097768FC" w:rsidR="00A607EA" w:rsidRDefault="00A607EA" w:rsidP="00A607EA">
      <w:pPr>
        <w:pStyle w:val="ListParagraph"/>
        <w:numPr>
          <w:ilvl w:val="0"/>
          <w:numId w:val="1"/>
        </w:numPr>
        <w:rPr>
          <w:b/>
          <w:bCs/>
          <w:lang w:val="en-US"/>
        </w:rPr>
      </w:pPr>
      <w:r>
        <w:rPr>
          <w:b/>
          <w:bCs/>
          <w:lang w:val="en-US"/>
        </w:rPr>
        <w:t xml:space="preserve">Fine wine </w:t>
      </w:r>
      <w:r w:rsidR="00C037C2">
        <w:rPr>
          <w:b/>
          <w:bCs/>
          <w:lang w:val="en-US"/>
        </w:rPr>
        <w:t>continues to offer stability in periods of economic uncertainty and volatility</w:t>
      </w:r>
      <w:r w:rsidR="008B03FC">
        <w:rPr>
          <w:b/>
          <w:bCs/>
          <w:lang w:val="en-US"/>
        </w:rPr>
        <w:t>.</w:t>
      </w:r>
      <w:r>
        <w:rPr>
          <w:b/>
          <w:bCs/>
          <w:lang w:val="en-US"/>
        </w:rPr>
        <w:t xml:space="preserve"> </w:t>
      </w:r>
    </w:p>
    <w:p w14:paraId="0781B7DE" w14:textId="2347143C" w:rsidR="000F592C" w:rsidRDefault="000F592C" w:rsidP="00A607EA">
      <w:pPr>
        <w:pStyle w:val="ListParagraph"/>
        <w:numPr>
          <w:ilvl w:val="0"/>
          <w:numId w:val="1"/>
        </w:numPr>
        <w:rPr>
          <w:b/>
          <w:bCs/>
          <w:lang w:val="en-US"/>
        </w:rPr>
      </w:pPr>
      <w:r>
        <w:rPr>
          <w:b/>
          <w:bCs/>
          <w:lang w:val="en-US"/>
        </w:rPr>
        <w:t xml:space="preserve">However, all the major Liv-ex indices are down year-to-date. </w:t>
      </w:r>
    </w:p>
    <w:p w14:paraId="2AC54FB8" w14:textId="27FF76D1" w:rsidR="00A607EA" w:rsidRDefault="00A607EA" w:rsidP="00A607EA">
      <w:pPr>
        <w:pStyle w:val="ListParagraph"/>
        <w:numPr>
          <w:ilvl w:val="0"/>
          <w:numId w:val="1"/>
        </w:numPr>
        <w:rPr>
          <w:b/>
          <w:bCs/>
          <w:lang w:val="en-US"/>
        </w:rPr>
      </w:pPr>
      <w:r>
        <w:rPr>
          <w:b/>
          <w:bCs/>
          <w:lang w:val="en-US"/>
        </w:rPr>
        <w:t xml:space="preserve">The Champagne 50 was </w:t>
      </w:r>
      <w:r w:rsidR="00CE05E7">
        <w:rPr>
          <w:b/>
          <w:bCs/>
          <w:lang w:val="en-US"/>
        </w:rPr>
        <w:t>the worst</w:t>
      </w:r>
      <w:r>
        <w:rPr>
          <w:b/>
          <w:bCs/>
          <w:lang w:val="en-US"/>
        </w:rPr>
        <w:t>-performing index of the Liv-ex Fine Wine 1000.</w:t>
      </w:r>
    </w:p>
    <w:p w14:paraId="23DD071A" w14:textId="3A1D123B" w:rsidR="00A607EA" w:rsidRDefault="008B03FC" w:rsidP="00A607EA">
      <w:pPr>
        <w:pStyle w:val="ListParagraph"/>
        <w:numPr>
          <w:ilvl w:val="0"/>
          <w:numId w:val="1"/>
        </w:numPr>
        <w:rPr>
          <w:b/>
          <w:bCs/>
          <w:lang w:val="en-US"/>
        </w:rPr>
      </w:pPr>
      <w:r>
        <w:rPr>
          <w:b/>
          <w:bCs/>
          <w:lang w:val="en-US"/>
        </w:rPr>
        <w:t>The top-traded wines this quarter came from Champagne, Bordeaux and California.</w:t>
      </w:r>
    </w:p>
    <w:p w14:paraId="78D13432" w14:textId="0CCC4D04" w:rsidR="00A607EA" w:rsidRPr="00A607EA" w:rsidRDefault="00A607EA">
      <w:pPr>
        <w:rPr>
          <w:b/>
          <w:bCs/>
          <w:lang w:val="en-US"/>
        </w:rPr>
      </w:pPr>
    </w:p>
    <w:p w14:paraId="14B346D5" w14:textId="4190F5AA" w:rsidR="00A607EA" w:rsidRDefault="00AB0D95">
      <w:pPr>
        <w:rPr>
          <w:lang w:val="en-US"/>
        </w:rPr>
      </w:pPr>
      <w:r>
        <w:rPr>
          <w:noProof/>
        </w:rPr>
        <w:drawing>
          <wp:inline distT="0" distB="0" distL="0" distR="0" wp14:anchorId="712D5066" wp14:editId="51EE38C4">
            <wp:extent cx="5731510" cy="2519045"/>
            <wp:effectExtent l="0" t="0" r="2540" b="0"/>
            <wp:docPr id="1295731200" name="Picture 129573120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31200" name="Picture 1" descr="Chart, lin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519045"/>
                    </a:xfrm>
                    <a:prstGeom prst="rect">
                      <a:avLst/>
                    </a:prstGeom>
                    <a:noFill/>
                    <a:ln>
                      <a:noFill/>
                    </a:ln>
                  </pic:spPr>
                </pic:pic>
              </a:graphicData>
            </a:graphic>
          </wp:inline>
        </w:drawing>
      </w:r>
    </w:p>
    <w:p w14:paraId="254BB97D" w14:textId="77777777" w:rsidR="00383A28" w:rsidRDefault="00383A28" w:rsidP="00383A28">
      <w:r>
        <w:t>It seems that Q1 is acquiring a reputation for being a turbulent quarter. This time last year, the Russian invasion of Ukraine had exacerbated inflation concerns, while the knock-on effect of war caused oil, gas and metals to rise in price which further impacted struggling global supply chains. To add to the situation, China — a major buyer on the secondary market — endured a severe wave of Covid-19, turning its mega-cities into ghost towns.</w:t>
      </w:r>
    </w:p>
    <w:p w14:paraId="632AB034" w14:textId="0C00136D" w:rsidR="004254A2" w:rsidRDefault="00383A28" w:rsidP="00383A28">
      <w:r>
        <w:t>One year on, the world is once again witnessing major turbulence but this time, it’s financial in nature. The collapse of Silicon Valley Bank sent shockwaves through markets, closely followed by the controversial UBS takeover of its rival Credit Suisse.</w:t>
      </w:r>
      <w:r w:rsidR="00345BDA">
        <w:t xml:space="preserve"> T</w:t>
      </w:r>
      <w:r w:rsidR="00345BDA" w:rsidRPr="00345BDA">
        <w:t>he major markets all fell from January to March in the wake of Silicon Valley Bank’s collapse. However, since the beginning of March they have bounced back hard, with many now at all-time highs.</w:t>
      </w:r>
    </w:p>
    <w:p w14:paraId="22EA2BDC" w14:textId="2D3AEBF3" w:rsidR="00A25E74" w:rsidRDefault="00A067D3" w:rsidP="00383A28">
      <w:r w:rsidRPr="00A067D3">
        <w:t>While the fine wine market has not experienced the same gains in Q1, it continues to offer stability in periods of economic uncertainty and volatility.</w:t>
      </w:r>
      <w:r>
        <w:t xml:space="preserve"> </w:t>
      </w:r>
      <w:r w:rsidR="00A25E74" w:rsidRPr="00A25E74">
        <w:t>However, despite modest improvements in March, all of the major Liv-ex indices are down year-to-date.</w:t>
      </w:r>
      <w:r w:rsidR="00A25E74">
        <w:t xml:space="preserve"> </w:t>
      </w:r>
      <w:r w:rsidR="0077378E" w:rsidRPr="0077378E">
        <w:t>While these declines aren’t quite as steep as some of the falls in the bond and equities markets, their relative stable performance masks some bigger causes for concern</w:t>
      </w:r>
      <w:r w:rsidR="00F44AA2">
        <w:t xml:space="preserve">. </w:t>
      </w:r>
    </w:p>
    <w:p w14:paraId="6C487AD8" w14:textId="77777777" w:rsidR="00A607EA" w:rsidRDefault="00A607EA" w:rsidP="00A607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Fill in the form below to claim your complimentary copy of the report.</w:t>
      </w:r>
      <w:r>
        <w:rPr>
          <w:rStyle w:val="eop"/>
          <w:rFonts w:ascii="Calibri" w:hAnsi="Calibri" w:cs="Calibri"/>
          <w:sz w:val="22"/>
          <w:szCs w:val="22"/>
        </w:rPr>
        <w:t> </w:t>
      </w:r>
    </w:p>
    <w:p w14:paraId="339D9EB0" w14:textId="77777777" w:rsidR="00A607EA" w:rsidRDefault="00A607EA" w:rsidP="00A607E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DDA745" w14:textId="77777777" w:rsidR="00A607EA" w:rsidRDefault="00A607EA" w:rsidP="00A607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[form]</w:t>
      </w:r>
      <w:r>
        <w:rPr>
          <w:rStyle w:val="eop"/>
          <w:rFonts w:ascii="Calibri" w:hAnsi="Calibri" w:cs="Calibri"/>
          <w:sz w:val="22"/>
          <w:szCs w:val="22"/>
        </w:rPr>
        <w:t> </w:t>
      </w:r>
    </w:p>
    <w:p w14:paraId="75E68805" w14:textId="214D03EB" w:rsidR="00A607EA" w:rsidRDefault="00A607EA"/>
    <w:p w14:paraId="0E7D85F9" w14:textId="77777777" w:rsidR="00A607EA" w:rsidRDefault="00A607EA" w:rsidP="00A607E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About Liv-ex </w:t>
      </w:r>
      <w:r>
        <w:rPr>
          <w:rStyle w:val="normaltextrun"/>
          <w:rFonts w:ascii="Calibri" w:hAnsi="Calibri" w:cs="Calibri"/>
          <w:sz w:val="22"/>
          <w:szCs w:val="22"/>
        </w:rPr>
        <w:t>  </w:t>
      </w:r>
      <w:r>
        <w:rPr>
          <w:rStyle w:val="eop"/>
          <w:rFonts w:ascii="Calibri" w:hAnsi="Calibri" w:cs="Calibri"/>
          <w:sz w:val="22"/>
          <w:szCs w:val="22"/>
        </w:rPr>
        <w:t> </w:t>
      </w:r>
    </w:p>
    <w:p w14:paraId="00896A37" w14:textId="002C6CC8" w:rsidR="00A607EA" w:rsidRDefault="00000000" w:rsidP="00A607EA">
      <w:pPr>
        <w:pStyle w:val="paragraph"/>
        <w:spacing w:before="0" w:beforeAutospacing="0" w:after="0" w:afterAutospacing="0"/>
        <w:textAlignment w:val="baseline"/>
        <w:rPr>
          <w:rFonts w:ascii="Segoe UI" w:hAnsi="Segoe UI" w:cs="Segoe UI"/>
          <w:sz w:val="18"/>
          <w:szCs w:val="18"/>
        </w:rPr>
      </w:pPr>
      <w:hyperlink r:id="rId9" w:tgtFrame="_blank" w:history="1">
        <w:r w:rsidR="00A607EA">
          <w:rPr>
            <w:rStyle w:val="normaltextrun"/>
            <w:rFonts w:ascii="Calibri" w:hAnsi="Calibri" w:cs="Calibri"/>
            <w:i/>
            <w:iCs/>
            <w:color w:val="000000"/>
            <w:sz w:val="22"/>
            <w:szCs w:val="22"/>
            <w:shd w:val="clear" w:color="auto" w:fill="E1E3E6"/>
          </w:rPr>
          <w:t>Liv-ex analysis</w:t>
        </w:r>
      </w:hyperlink>
      <w:r w:rsidR="00A607EA">
        <w:rPr>
          <w:rStyle w:val="normaltextrun"/>
          <w:rFonts w:ascii="Calibri" w:hAnsi="Calibri" w:cs="Calibri"/>
          <w:i/>
          <w:iCs/>
          <w:color w:val="000000"/>
          <w:sz w:val="22"/>
          <w:szCs w:val="22"/>
          <w:shd w:val="clear" w:color="auto" w:fill="FFFFFF"/>
        </w:rPr>
        <w:t> is drawn from the world’s most comprehensive database of </w:t>
      </w:r>
      <w:hyperlink r:id="rId10" w:tgtFrame="_blank" w:history="1">
        <w:r w:rsidR="00A607EA">
          <w:rPr>
            <w:rStyle w:val="normaltextrun"/>
            <w:rFonts w:ascii="Calibri" w:hAnsi="Calibri" w:cs="Calibri"/>
            <w:i/>
            <w:iCs/>
            <w:color w:val="000000"/>
            <w:sz w:val="22"/>
            <w:szCs w:val="22"/>
            <w:shd w:val="clear" w:color="auto" w:fill="E1E3E6"/>
          </w:rPr>
          <w:t>fine wine prices</w:t>
        </w:r>
      </w:hyperlink>
      <w:r w:rsidR="00A607EA">
        <w:rPr>
          <w:rStyle w:val="normaltextrun"/>
          <w:rFonts w:ascii="Calibri" w:hAnsi="Calibri" w:cs="Calibri"/>
          <w:i/>
          <w:iCs/>
          <w:color w:val="000000"/>
          <w:sz w:val="22"/>
          <w:szCs w:val="22"/>
          <w:shd w:val="clear" w:color="auto" w:fill="FFFFFF"/>
        </w:rPr>
        <w:t>. The data reflects the real time activity of Liv-ex’s 6</w:t>
      </w:r>
      <w:r w:rsidR="00F44AA2">
        <w:rPr>
          <w:rStyle w:val="normaltextrun"/>
          <w:rFonts w:ascii="Calibri" w:hAnsi="Calibri" w:cs="Calibri"/>
          <w:i/>
          <w:iCs/>
          <w:color w:val="000000"/>
          <w:sz w:val="22"/>
          <w:szCs w:val="22"/>
          <w:shd w:val="clear" w:color="auto" w:fill="FFFFFF"/>
        </w:rPr>
        <w:t>2</w:t>
      </w:r>
      <w:r w:rsidR="00A607EA">
        <w:rPr>
          <w:rStyle w:val="normaltextrun"/>
          <w:rFonts w:ascii="Calibri" w:hAnsi="Calibri" w:cs="Calibri"/>
          <w:i/>
          <w:iCs/>
          <w:color w:val="000000"/>
          <w:sz w:val="22"/>
          <w:szCs w:val="22"/>
          <w:shd w:val="clear" w:color="auto" w:fill="FFFFFF"/>
        </w:rPr>
        <w:t>0 merchant members from across the globe. Together they represent the largest pool of liquidity in the world – currently £100m of bids and offers across 16,000 wines. Independent data, direct from the market.</w:t>
      </w:r>
      <w:r w:rsidR="00A607EA">
        <w:rPr>
          <w:rStyle w:val="normaltextrun"/>
          <w:rFonts w:ascii="Calibri" w:hAnsi="Calibri" w:cs="Calibri"/>
          <w:color w:val="000000"/>
          <w:sz w:val="22"/>
          <w:szCs w:val="22"/>
          <w:shd w:val="clear" w:color="auto" w:fill="FFFFFF"/>
        </w:rPr>
        <w:t>  </w:t>
      </w:r>
      <w:r w:rsidR="00A607EA">
        <w:rPr>
          <w:rStyle w:val="normaltextrun"/>
          <w:rFonts w:ascii="Calibri" w:hAnsi="Calibri" w:cs="Calibri"/>
          <w:color w:val="000000"/>
          <w:sz w:val="22"/>
          <w:szCs w:val="22"/>
        </w:rPr>
        <w:t>  </w:t>
      </w:r>
    </w:p>
    <w:sectPr w:rsidR="00A60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10F78"/>
    <w:multiLevelType w:val="hybridMultilevel"/>
    <w:tmpl w:val="4A2C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3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EA"/>
    <w:rsid w:val="000F592C"/>
    <w:rsid w:val="00345BDA"/>
    <w:rsid w:val="00383A28"/>
    <w:rsid w:val="004254A2"/>
    <w:rsid w:val="00550233"/>
    <w:rsid w:val="006A02D0"/>
    <w:rsid w:val="0077378E"/>
    <w:rsid w:val="007F12C6"/>
    <w:rsid w:val="00846BCC"/>
    <w:rsid w:val="008B03FC"/>
    <w:rsid w:val="00A067D3"/>
    <w:rsid w:val="00A25E74"/>
    <w:rsid w:val="00A607EA"/>
    <w:rsid w:val="00A74CA6"/>
    <w:rsid w:val="00AB0D95"/>
    <w:rsid w:val="00C037C2"/>
    <w:rsid w:val="00CE05E7"/>
    <w:rsid w:val="00F44AA2"/>
    <w:rsid w:val="00FB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9BEC"/>
  <w15:chartTrackingRefBased/>
  <w15:docId w15:val="{EF372A97-969D-4232-BDC1-54C3A221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7EA"/>
    <w:pPr>
      <w:ind w:left="720"/>
      <w:contextualSpacing/>
    </w:pPr>
  </w:style>
  <w:style w:type="character" w:customStyle="1" w:styleId="normaltextrun">
    <w:name w:val="normaltextrun"/>
    <w:basedOn w:val="DefaultParagraphFont"/>
    <w:rsid w:val="00A607EA"/>
  </w:style>
  <w:style w:type="character" w:customStyle="1" w:styleId="eop">
    <w:name w:val="eop"/>
    <w:basedOn w:val="DefaultParagraphFont"/>
    <w:rsid w:val="00A607EA"/>
  </w:style>
  <w:style w:type="paragraph" w:customStyle="1" w:styleId="paragraph">
    <w:name w:val="paragraph"/>
    <w:basedOn w:val="Normal"/>
    <w:rsid w:val="00A607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02827">
      <w:bodyDiv w:val="1"/>
      <w:marLeft w:val="0"/>
      <w:marRight w:val="0"/>
      <w:marTop w:val="0"/>
      <w:marBottom w:val="0"/>
      <w:divBdr>
        <w:top w:val="none" w:sz="0" w:space="0" w:color="auto"/>
        <w:left w:val="none" w:sz="0" w:space="0" w:color="auto"/>
        <w:bottom w:val="none" w:sz="0" w:space="0" w:color="auto"/>
        <w:right w:val="none" w:sz="0" w:space="0" w:color="auto"/>
      </w:divBdr>
      <w:divsChild>
        <w:div w:id="2140296322">
          <w:marLeft w:val="0"/>
          <w:marRight w:val="0"/>
          <w:marTop w:val="0"/>
          <w:marBottom w:val="0"/>
          <w:divBdr>
            <w:top w:val="none" w:sz="0" w:space="0" w:color="auto"/>
            <w:left w:val="none" w:sz="0" w:space="0" w:color="auto"/>
            <w:bottom w:val="none" w:sz="0" w:space="0" w:color="auto"/>
            <w:right w:val="none" w:sz="0" w:space="0" w:color="auto"/>
          </w:divBdr>
        </w:div>
        <w:div w:id="729228915">
          <w:marLeft w:val="0"/>
          <w:marRight w:val="0"/>
          <w:marTop w:val="0"/>
          <w:marBottom w:val="0"/>
          <w:divBdr>
            <w:top w:val="none" w:sz="0" w:space="0" w:color="auto"/>
            <w:left w:val="none" w:sz="0" w:space="0" w:color="auto"/>
            <w:bottom w:val="none" w:sz="0" w:space="0" w:color="auto"/>
            <w:right w:val="none" w:sz="0" w:space="0" w:color="auto"/>
          </w:divBdr>
        </w:div>
        <w:div w:id="258220135">
          <w:marLeft w:val="0"/>
          <w:marRight w:val="0"/>
          <w:marTop w:val="0"/>
          <w:marBottom w:val="0"/>
          <w:divBdr>
            <w:top w:val="none" w:sz="0" w:space="0" w:color="auto"/>
            <w:left w:val="none" w:sz="0" w:space="0" w:color="auto"/>
            <w:bottom w:val="none" w:sz="0" w:space="0" w:color="auto"/>
            <w:right w:val="none" w:sz="0" w:space="0" w:color="auto"/>
          </w:divBdr>
        </w:div>
      </w:divsChild>
    </w:div>
    <w:div w:id="1385982502">
      <w:bodyDiv w:val="1"/>
      <w:marLeft w:val="0"/>
      <w:marRight w:val="0"/>
      <w:marTop w:val="0"/>
      <w:marBottom w:val="0"/>
      <w:divBdr>
        <w:top w:val="none" w:sz="0" w:space="0" w:color="auto"/>
        <w:left w:val="none" w:sz="0" w:space="0" w:color="auto"/>
        <w:bottom w:val="none" w:sz="0" w:space="0" w:color="auto"/>
        <w:right w:val="none" w:sz="0" w:space="0" w:color="auto"/>
      </w:divBdr>
      <w:divsChild>
        <w:div w:id="1097169979">
          <w:marLeft w:val="0"/>
          <w:marRight w:val="0"/>
          <w:marTop w:val="0"/>
          <w:marBottom w:val="0"/>
          <w:divBdr>
            <w:top w:val="none" w:sz="0" w:space="0" w:color="auto"/>
            <w:left w:val="none" w:sz="0" w:space="0" w:color="auto"/>
            <w:bottom w:val="none" w:sz="0" w:space="0" w:color="auto"/>
            <w:right w:val="none" w:sz="0" w:space="0" w:color="auto"/>
          </w:divBdr>
        </w:div>
        <w:div w:id="13922394">
          <w:marLeft w:val="0"/>
          <w:marRight w:val="0"/>
          <w:marTop w:val="0"/>
          <w:marBottom w:val="0"/>
          <w:divBdr>
            <w:top w:val="none" w:sz="0" w:space="0" w:color="auto"/>
            <w:left w:val="none" w:sz="0" w:space="0" w:color="auto"/>
            <w:bottom w:val="none" w:sz="0" w:space="0" w:color="auto"/>
            <w:right w:val="none" w:sz="0" w:space="0" w:color="auto"/>
          </w:divBdr>
        </w:div>
      </w:divsChild>
    </w:div>
    <w:div w:id="18432747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75">
          <w:marLeft w:val="0"/>
          <w:marRight w:val="0"/>
          <w:marTop w:val="0"/>
          <w:marBottom w:val="0"/>
          <w:divBdr>
            <w:top w:val="none" w:sz="0" w:space="0" w:color="auto"/>
            <w:left w:val="none" w:sz="0" w:space="0" w:color="auto"/>
            <w:bottom w:val="none" w:sz="0" w:space="0" w:color="auto"/>
            <w:right w:val="none" w:sz="0" w:space="0" w:color="auto"/>
          </w:divBdr>
        </w:div>
        <w:div w:id="409277936">
          <w:marLeft w:val="0"/>
          <w:marRight w:val="0"/>
          <w:marTop w:val="0"/>
          <w:marBottom w:val="0"/>
          <w:divBdr>
            <w:top w:val="none" w:sz="0" w:space="0" w:color="auto"/>
            <w:left w:val="none" w:sz="0" w:space="0" w:color="auto"/>
            <w:bottom w:val="none" w:sz="0" w:space="0" w:color="auto"/>
            <w:right w:val="none" w:sz="0" w:space="0" w:color="auto"/>
          </w:divBdr>
        </w:div>
        <w:div w:id="46204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iv-ex.com/solutions/solutions-price-wine/%22%20/t%20%22_blank" TargetMode="External"/><Relationship Id="rId4" Type="http://schemas.openxmlformats.org/officeDocument/2006/relationships/numbering" Target="numbering.xml"/><Relationship Id="rId9" Type="http://schemas.openxmlformats.org/officeDocument/2006/relationships/hyperlink" Target="https://www.liv-ex.com/news-insights/indices/liv-ex-fine-wine-1000-indices/%22%20/t%20%22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0448d1-db96-4da4-8e55-94bdf4502858">
      <Terms xmlns="http://schemas.microsoft.com/office/infopath/2007/PartnerControls"/>
    </lcf76f155ced4ddcb4097134ff3c332f>
    <TaxCatchAll xmlns="abf2777c-ae2d-4dae-9fc3-846764c18e68" xsi:nil="true"/>
    <_Flow_SignoffStatus xmlns="870448d1-db96-4da4-8e55-94bdf45028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E04153E5A1945BA22B1763ED7AF50" ma:contentTypeVersion="17" ma:contentTypeDescription="Create a new document." ma:contentTypeScope="" ma:versionID="45025043db0d5c2c70877b4d98ab4323">
  <xsd:schema xmlns:xsd="http://www.w3.org/2001/XMLSchema" xmlns:xs="http://www.w3.org/2001/XMLSchema" xmlns:p="http://schemas.microsoft.com/office/2006/metadata/properties" xmlns:ns2="870448d1-db96-4da4-8e55-94bdf4502858" xmlns:ns3="abf2777c-ae2d-4dae-9fc3-846764c18e68" targetNamespace="http://schemas.microsoft.com/office/2006/metadata/properties" ma:root="true" ma:fieldsID="f2eb5873d067881c3c405f65dd77a55b" ns2:_="" ns3:_="">
    <xsd:import namespace="870448d1-db96-4da4-8e55-94bdf4502858"/>
    <xsd:import namespace="abf2777c-ae2d-4dae-9fc3-846764c18e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448d1-db96-4da4-8e55-94bdf45028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a5c30-2b1a-46a3-97eb-318cdb4a0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f2777c-ae2d-4dae-9fc3-846764c18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4d1b60-6ed9-43a1-aabe-bafeb7680630}" ma:internalName="TaxCatchAll" ma:showField="CatchAllData" ma:web="abf2777c-ae2d-4dae-9fc3-846764c18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86EB5-4AC4-46EB-A529-23E71705DC57}">
  <ds:schemaRefs>
    <ds:schemaRef ds:uri="http://schemas.microsoft.com/office/2006/metadata/properties"/>
    <ds:schemaRef ds:uri="http://schemas.microsoft.com/office/infopath/2007/PartnerControls"/>
    <ds:schemaRef ds:uri="870448d1-db96-4da4-8e55-94bdf4502858"/>
    <ds:schemaRef ds:uri="abf2777c-ae2d-4dae-9fc3-846764c18e68"/>
  </ds:schemaRefs>
</ds:datastoreItem>
</file>

<file path=customXml/itemProps2.xml><?xml version="1.0" encoding="utf-8"?>
<ds:datastoreItem xmlns:ds="http://schemas.openxmlformats.org/officeDocument/2006/customXml" ds:itemID="{FAFA2DB1-74CE-4C5A-8ABC-A92DD2761540}">
  <ds:schemaRefs>
    <ds:schemaRef ds:uri="http://schemas.microsoft.com/sharepoint/v3/contenttype/forms"/>
  </ds:schemaRefs>
</ds:datastoreItem>
</file>

<file path=customXml/itemProps3.xml><?xml version="1.0" encoding="utf-8"?>
<ds:datastoreItem xmlns:ds="http://schemas.openxmlformats.org/officeDocument/2006/customXml" ds:itemID="{5986A64D-E7C9-4037-8817-975F4FBB5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448d1-db96-4da4-8e55-94bdf4502858"/>
    <ds:schemaRef ds:uri="abf2777c-ae2d-4dae-9fc3-846764c18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Millar</dc:creator>
  <cp:keywords/>
  <dc:description/>
  <cp:lastModifiedBy>Nicola Graham</cp:lastModifiedBy>
  <cp:revision>18</cp:revision>
  <dcterms:created xsi:type="dcterms:W3CDTF">2022-10-10T14:32:00Z</dcterms:created>
  <dcterms:modified xsi:type="dcterms:W3CDTF">2023-04-06T10:07:00Z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0x01010037DE04153E5A1945BA22B1763ED7AF50</vt:lpwstr>
  </property>
  <property fmtid="{D5CDD505-2E9C-101B-9397-08002B2CF9AE}" pid="3" name="MediaServiceImageTags">
    <vt:lpwstr/>
  </property>
</Properties>
</file>