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D87A" w14:textId="6BE31778" w:rsidR="002313F8" w:rsidRPr="00F77536" w:rsidRDefault="00F77536">
      <w:pPr>
        <w:rPr>
          <w:b/>
          <w:bCs/>
          <w:noProof/>
        </w:rPr>
      </w:pPr>
      <w:r w:rsidRPr="00F77536">
        <w:rPr>
          <w:b/>
          <w:bCs/>
          <w:noProof/>
        </w:rPr>
        <w:t>Regional market share – a continuation of the past</w:t>
      </w:r>
      <w:r w:rsidR="004A2624">
        <w:rPr>
          <w:b/>
          <w:bCs/>
          <w:noProof/>
        </w:rPr>
        <w:t>?</w:t>
      </w:r>
    </w:p>
    <w:p w14:paraId="45B1D368" w14:textId="588F5CC9" w:rsidR="00270091" w:rsidRDefault="002313F8">
      <w:r>
        <w:rPr>
          <w:noProof/>
        </w:rPr>
        <w:drawing>
          <wp:inline distT="0" distB="0" distL="0" distR="0" wp14:anchorId="486BFA81" wp14:editId="03919279">
            <wp:extent cx="5731510" cy="4081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F906" w14:textId="61651BB3" w:rsidR="00FF3FEC" w:rsidRDefault="00D5331C">
      <w:r>
        <w:t>In our</w:t>
      </w:r>
      <w:r w:rsidR="00563CA1">
        <w:t xml:space="preserve"> last</w:t>
      </w:r>
      <w:r>
        <w:t xml:space="preserve"> </w:t>
      </w:r>
      <w:hyperlink r:id="rId8" w:history="1">
        <w:r w:rsidRPr="00D5331C">
          <w:rPr>
            <w:rStyle w:val="Hyperlink"/>
          </w:rPr>
          <w:t>yearly update</w:t>
        </w:r>
      </w:hyperlink>
      <w:r>
        <w:t xml:space="preserve"> on the</w:t>
      </w:r>
      <w:r w:rsidR="00D53816">
        <w:t xml:space="preserve"> shape of the</w:t>
      </w:r>
      <w:r>
        <w:t xml:space="preserve"> fine wine market, we </w:t>
      </w:r>
      <w:r w:rsidR="003D3A44">
        <w:t>noted</w:t>
      </w:r>
      <w:r>
        <w:t xml:space="preserve"> </w:t>
      </w:r>
      <w:r w:rsidR="00144ADF">
        <w:t>its continu</w:t>
      </w:r>
      <w:r w:rsidR="003D3A44">
        <w:t>ous</w:t>
      </w:r>
      <w:r w:rsidR="00144ADF">
        <w:t xml:space="preserve"> broadening</w:t>
      </w:r>
      <w:r w:rsidR="003D3A44">
        <w:t xml:space="preserve"> – more wines from more </w:t>
      </w:r>
      <w:r w:rsidR="004E2FA7">
        <w:t>region</w:t>
      </w:r>
      <w:r w:rsidR="006B36A1">
        <w:t>s</w:t>
      </w:r>
      <w:r w:rsidR="004E2FA7">
        <w:t xml:space="preserve"> attract</w:t>
      </w:r>
      <w:r w:rsidR="006B36A1">
        <w:t>ing</w:t>
      </w:r>
      <w:r w:rsidR="004E2FA7">
        <w:t xml:space="preserve"> </w:t>
      </w:r>
      <w:r w:rsidR="00892C6C">
        <w:t>buying</w:t>
      </w:r>
      <w:r w:rsidR="004E2FA7">
        <w:t xml:space="preserve"> interest.</w:t>
      </w:r>
      <w:r w:rsidR="006B36A1">
        <w:t xml:space="preserve"> </w:t>
      </w:r>
      <w:r w:rsidR="00D23DD7">
        <w:t xml:space="preserve">So far, </w:t>
      </w:r>
      <w:r w:rsidR="00273370">
        <w:t xml:space="preserve">2019 has </w:t>
      </w:r>
      <w:r w:rsidR="00137AA3">
        <w:t xml:space="preserve">not only </w:t>
      </w:r>
      <w:r w:rsidR="00273370">
        <w:t>sustained this trend</w:t>
      </w:r>
      <w:r w:rsidR="004B190F">
        <w:t xml:space="preserve"> of </w:t>
      </w:r>
      <w:r w:rsidR="00B125B9">
        <w:t>diversi</w:t>
      </w:r>
      <w:r w:rsidR="00930EC4">
        <w:t>fication</w:t>
      </w:r>
      <w:r w:rsidR="00137AA3">
        <w:t xml:space="preserve"> but has also</w:t>
      </w:r>
      <w:r w:rsidR="007A61FD">
        <w:t xml:space="preserve"> seen Burgundy’s </w:t>
      </w:r>
      <w:r w:rsidR="00DF01D9">
        <w:t>trade</w:t>
      </w:r>
      <w:r w:rsidR="00F4268F">
        <w:t xml:space="preserve"> share</w:t>
      </w:r>
      <w:r w:rsidR="007A61FD">
        <w:t xml:space="preserve"> by value reach a </w:t>
      </w:r>
      <w:r w:rsidR="00AC548B">
        <w:t xml:space="preserve">new </w:t>
      </w:r>
      <w:r w:rsidR="007A61FD">
        <w:t xml:space="preserve">record. </w:t>
      </w:r>
    </w:p>
    <w:p w14:paraId="42372622" w14:textId="77777777" w:rsidR="00E64C3F" w:rsidRDefault="00020912">
      <w:r>
        <w:t>Burgundy</w:t>
      </w:r>
      <w:r w:rsidR="00DF01D9">
        <w:t xml:space="preserve">’s </w:t>
      </w:r>
      <w:r w:rsidR="00D23DD7">
        <w:t xml:space="preserve">average </w:t>
      </w:r>
      <w:r w:rsidR="00DF01D9">
        <w:t>share</w:t>
      </w:r>
      <w:r>
        <w:t xml:space="preserve"> </w:t>
      </w:r>
      <w:r w:rsidR="00AA1051">
        <w:t xml:space="preserve">has risen from 14.5% </w:t>
      </w:r>
      <w:r w:rsidR="00BC2935">
        <w:t>in 2018</w:t>
      </w:r>
      <w:r w:rsidR="00AA1051">
        <w:t xml:space="preserve"> to 18.4% </w:t>
      </w:r>
      <w:r w:rsidR="00E56765">
        <w:t>this year</w:t>
      </w:r>
      <w:r w:rsidR="00E41F18">
        <w:t>,</w:t>
      </w:r>
      <w:r w:rsidR="008D0D71">
        <w:t xml:space="preserve"> </w:t>
      </w:r>
      <w:r w:rsidR="00E41F18">
        <w:t xml:space="preserve">peaking in May </w:t>
      </w:r>
      <w:r w:rsidR="008D0D71">
        <w:t>when the region hit a monthly high of 22.6%.</w:t>
      </w:r>
      <w:r w:rsidR="00486654">
        <w:t xml:space="preserve"> This</w:t>
      </w:r>
      <w:r w:rsidR="00635787">
        <w:t xml:space="preserve"> consequently</w:t>
      </w:r>
      <w:r w:rsidR="00486654">
        <w:t xml:space="preserve"> affected Bordeaux’s activity</w:t>
      </w:r>
      <w:r w:rsidR="00635787">
        <w:t xml:space="preserve">, </w:t>
      </w:r>
      <w:r w:rsidR="00E94529">
        <w:t>which fell to its lowest</w:t>
      </w:r>
      <w:r w:rsidR="00072A67">
        <w:t xml:space="preserve"> </w:t>
      </w:r>
      <w:r w:rsidR="00E94529">
        <w:t>level</w:t>
      </w:r>
      <w:r w:rsidR="002B1B1A">
        <w:t xml:space="preserve"> for the </w:t>
      </w:r>
      <w:r w:rsidR="00E94529">
        <w:t>year (55.3%)</w:t>
      </w:r>
      <w:r w:rsidR="008D0D71">
        <w:t xml:space="preserve"> </w:t>
      </w:r>
      <w:r w:rsidR="00E94529">
        <w:t>that month.</w:t>
      </w:r>
      <w:r w:rsidR="00E64C3F">
        <w:t xml:space="preserve"> </w:t>
      </w:r>
    </w:p>
    <w:p w14:paraId="15E6946D" w14:textId="3ED7ADB6" w:rsidR="003407A3" w:rsidRDefault="00A00D1F">
      <w:r>
        <w:t>Still, Bordeaux</w:t>
      </w:r>
      <w:r w:rsidR="004212CF">
        <w:t>’s share</w:t>
      </w:r>
      <w:r w:rsidR="00001ED9">
        <w:t xml:space="preserve"> has</w:t>
      </w:r>
      <w:r w:rsidR="000D0155">
        <w:t xml:space="preserve"> </w:t>
      </w:r>
      <w:r w:rsidR="006B74CF">
        <w:t>seen</w:t>
      </w:r>
      <w:r w:rsidR="00E64C3F">
        <w:t xml:space="preserve"> </w:t>
      </w:r>
      <w:r w:rsidR="006B74CF">
        <w:t>little volatility</w:t>
      </w:r>
      <w:r w:rsidR="00376429">
        <w:t xml:space="preserve">, </w:t>
      </w:r>
      <w:r w:rsidR="005A5229">
        <w:t>trading in</w:t>
      </w:r>
      <w:r w:rsidR="00376429">
        <w:t xml:space="preserve"> </w:t>
      </w:r>
      <w:r w:rsidR="005C799B">
        <w:t>the 55</w:t>
      </w:r>
      <w:r w:rsidR="00EE5DB8">
        <w:t>%</w:t>
      </w:r>
      <w:r w:rsidR="005C799B">
        <w:t>-62% range</w:t>
      </w:r>
      <w:r w:rsidR="00EF60CC">
        <w:t>.</w:t>
      </w:r>
      <w:r w:rsidR="005C799B">
        <w:t xml:space="preserve"> </w:t>
      </w:r>
      <w:r w:rsidR="003407A3">
        <w:t xml:space="preserve">Prices for </w:t>
      </w:r>
      <w:r w:rsidR="00924FCB">
        <w:t xml:space="preserve">Bordeaux have </w:t>
      </w:r>
      <w:r w:rsidR="003407A3">
        <w:t xml:space="preserve">also </w:t>
      </w:r>
      <w:r w:rsidR="00C55204">
        <w:t>held steady</w:t>
      </w:r>
      <w:r w:rsidR="00924FCB">
        <w:t xml:space="preserve"> this year, </w:t>
      </w:r>
      <w:r w:rsidR="00B8272C">
        <w:t>evident in the performa</w:t>
      </w:r>
      <w:bookmarkStart w:id="0" w:name="_GoBack"/>
      <w:bookmarkEnd w:id="0"/>
      <w:r w:rsidR="00B8272C">
        <w:t xml:space="preserve">nce of the </w:t>
      </w:r>
      <w:hyperlink r:id="rId9" w:history="1">
        <w:r w:rsidR="00B8272C" w:rsidRPr="00B8272C">
          <w:rPr>
            <w:rStyle w:val="Hyperlink"/>
          </w:rPr>
          <w:t>Bordeaux 500 index</w:t>
        </w:r>
      </w:hyperlink>
      <w:r w:rsidR="003407A3">
        <w:t xml:space="preserve">. </w:t>
      </w:r>
    </w:p>
    <w:p w14:paraId="0557B6CD" w14:textId="03180FC7" w:rsidR="00E5218D" w:rsidRDefault="003F1984">
      <w:r>
        <w:t xml:space="preserve">Burgundy’s </w:t>
      </w:r>
      <w:r w:rsidR="005C759A">
        <w:t>share</w:t>
      </w:r>
      <w:r w:rsidR="003407A3">
        <w:t xml:space="preserve">, on the other hand, </w:t>
      </w:r>
      <w:r>
        <w:t xml:space="preserve">has been rising </w:t>
      </w:r>
      <w:r w:rsidR="005C759A">
        <w:t>in the context of</w:t>
      </w:r>
      <w:r>
        <w:t xml:space="preserve"> its declining market.</w:t>
      </w:r>
      <w:r w:rsidR="005C759A">
        <w:t xml:space="preserve"> The </w:t>
      </w:r>
      <w:hyperlink r:id="rId10" w:history="1">
        <w:r w:rsidR="005C759A" w:rsidRPr="001F0C05">
          <w:rPr>
            <w:rStyle w:val="Hyperlink"/>
          </w:rPr>
          <w:t>Burgundy 150</w:t>
        </w:r>
      </w:hyperlink>
      <w:r w:rsidR="005C759A">
        <w:t xml:space="preserve"> has dipped 6.2% year-to-date</w:t>
      </w:r>
      <w:r w:rsidR="0097399D">
        <w:t>,</w:t>
      </w:r>
      <w:r w:rsidR="00001ED9">
        <w:t xml:space="preserve"> </w:t>
      </w:r>
      <w:r w:rsidR="00803470">
        <w:t>a</w:t>
      </w:r>
      <w:r w:rsidR="00DF56B0">
        <w:t xml:space="preserve"> </w:t>
      </w:r>
      <w:r w:rsidR="00C55204">
        <w:t>possibility we discussed</w:t>
      </w:r>
      <w:r w:rsidR="00001ED9">
        <w:t xml:space="preserve"> in</w:t>
      </w:r>
      <w:r w:rsidR="0097399D">
        <w:t xml:space="preserve"> our </w:t>
      </w:r>
      <w:r w:rsidR="0036461A">
        <w:t xml:space="preserve">special </w:t>
      </w:r>
      <w:r w:rsidR="0097399D">
        <w:t xml:space="preserve">report </w:t>
      </w:r>
      <w:r w:rsidR="0036461A">
        <w:t>‘</w:t>
      </w:r>
      <w:hyperlink r:id="rId11" w:history="1">
        <w:r w:rsidR="0036461A" w:rsidRPr="0036461A">
          <w:rPr>
            <w:rStyle w:val="Hyperlink"/>
          </w:rPr>
          <w:t>Burgundy: in the spotlight</w:t>
        </w:r>
      </w:hyperlink>
      <w:r w:rsidR="0036461A">
        <w:t>’</w:t>
      </w:r>
      <w:r w:rsidR="0097757D">
        <w:t xml:space="preserve">. </w:t>
      </w:r>
      <w:r w:rsidR="00BC397B">
        <w:t xml:space="preserve">More </w:t>
      </w:r>
      <w:r w:rsidR="00DD608D">
        <w:t xml:space="preserve">Burgundy </w:t>
      </w:r>
      <w:r w:rsidR="00BC397B">
        <w:t>stock</w:t>
      </w:r>
      <w:r w:rsidR="00DD608D">
        <w:t xml:space="preserve"> has</w:t>
      </w:r>
      <w:r w:rsidR="00BC397B">
        <w:t xml:space="preserve"> also bec</w:t>
      </w:r>
      <w:r w:rsidR="00DD608D">
        <w:t>o</w:t>
      </w:r>
      <w:r w:rsidR="00BC397B">
        <w:t xml:space="preserve">me </w:t>
      </w:r>
      <w:r w:rsidR="00F7363D">
        <w:t>available</w:t>
      </w:r>
      <w:r w:rsidR="00DD608D">
        <w:t>,</w:t>
      </w:r>
      <w:r w:rsidR="00F016C8">
        <w:t xml:space="preserve"> a sign</w:t>
      </w:r>
      <w:r w:rsidR="00DD608D">
        <w:t xml:space="preserve"> perhaps that </w:t>
      </w:r>
      <w:r w:rsidR="00F7363D">
        <w:t xml:space="preserve">interest has started to shift towards </w:t>
      </w:r>
      <w:r w:rsidR="007F2B6B">
        <w:t>other regions.</w:t>
      </w:r>
      <w:r w:rsidR="00CD1216">
        <w:t xml:space="preserve"> </w:t>
      </w:r>
      <w:r>
        <w:t xml:space="preserve"> </w:t>
      </w:r>
      <w:r w:rsidR="00B8272C">
        <w:t xml:space="preserve"> </w:t>
      </w:r>
    </w:p>
    <w:p w14:paraId="3C7645DB" w14:textId="4D0A2F10" w:rsidR="00DF56B0" w:rsidRDefault="00DF56B0">
      <w:r>
        <w:t xml:space="preserve">Within the fine wine world, </w:t>
      </w:r>
      <w:r w:rsidR="00B36B70">
        <w:t>Champagne has seen the most volatil</w:t>
      </w:r>
      <w:r w:rsidR="00625EFC">
        <w:t>e</w:t>
      </w:r>
      <w:r w:rsidR="00B36B70">
        <w:t xml:space="preserve"> activity</w:t>
      </w:r>
      <w:r w:rsidR="00625EFC">
        <w:t>,</w:t>
      </w:r>
      <w:r w:rsidR="00C615F9">
        <w:t xml:space="preserve"> </w:t>
      </w:r>
      <w:r w:rsidR="00892C6C">
        <w:t>disguised</w:t>
      </w:r>
      <w:r w:rsidR="00E612F6">
        <w:t xml:space="preserve"> under the surface of </w:t>
      </w:r>
      <w:r w:rsidR="00892C6C">
        <w:t xml:space="preserve">a </w:t>
      </w:r>
      <w:r w:rsidR="006D34F4">
        <w:t xml:space="preserve">flat average </w:t>
      </w:r>
      <w:r w:rsidR="00280CC7">
        <w:t xml:space="preserve">yearly </w:t>
      </w:r>
      <w:r w:rsidR="006D34F4">
        <w:t>share. The region accou</w:t>
      </w:r>
      <w:r w:rsidR="00C615F9">
        <w:t>nt</w:t>
      </w:r>
      <w:r w:rsidR="006D34F4">
        <w:t>ed</w:t>
      </w:r>
      <w:r w:rsidR="00C615F9">
        <w:t xml:space="preserve"> for only 4% of the total trade by value in April </w:t>
      </w:r>
      <w:r w:rsidR="006D34F4">
        <w:t>but</w:t>
      </w:r>
      <w:r w:rsidR="00C615F9">
        <w:t xml:space="preserve"> hit a</w:t>
      </w:r>
      <w:r w:rsidR="008D7156">
        <w:t>n all-time</w:t>
      </w:r>
      <w:r w:rsidR="006D34F4">
        <w:t xml:space="preserve"> monthly</w:t>
      </w:r>
      <w:r w:rsidR="00C615F9">
        <w:t xml:space="preserve"> record of 19.3% in June.</w:t>
      </w:r>
      <w:r w:rsidR="009F1914">
        <w:t xml:space="preserve"> </w:t>
      </w:r>
    </w:p>
    <w:p w14:paraId="1ABC5547" w14:textId="6546F79C" w:rsidR="00A22102" w:rsidRDefault="008071B1">
      <w:r>
        <w:t xml:space="preserve">Tune back in December for the final numbers for 2019. </w:t>
      </w:r>
    </w:p>
    <w:sectPr w:rsidR="00A22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4F"/>
    <w:rsid w:val="00001ED9"/>
    <w:rsid w:val="00016188"/>
    <w:rsid w:val="00020912"/>
    <w:rsid w:val="000331EB"/>
    <w:rsid w:val="000571C9"/>
    <w:rsid w:val="00071A4F"/>
    <w:rsid w:val="00072A67"/>
    <w:rsid w:val="000D0155"/>
    <w:rsid w:val="000F34DB"/>
    <w:rsid w:val="00125DC8"/>
    <w:rsid w:val="00127EC7"/>
    <w:rsid w:val="00137AA3"/>
    <w:rsid w:val="00144ADF"/>
    <w:rsid w:val="001A484A"/>
    <w:rsid w:val="001A4A11"/>
    <w:rsid w:val="001D0393"/>
    <w:rsid w:val="001D541F"/>
    <w:rsid w:val="001F0C05"/>
    <w:rsid w:val="002313F8"/>
    <w:rsid w:val="002573A7"/>
    <w:rsid w:val="00273370"/>
    <w:rsid w:val="00280CC7"/>
    <w:rsid w:val="002B1B1A"/>
    <w:rsid w:val="003407A3"/>
    <w:rsid w:val="00342BA1"/>
    <w:rsid w:val="0036461A"/>
    <w:rsid w:val="00376429"/>
    <w:rsid w:val="003835AA"/>
    <w:rsid w:val="003904CA"/>
    <w:rsid w:val="003D3A44"/>
    <w:rsid w:val="003D5DF5"/>
    <w:rsid w:val="003E253D"/>
    <w:rsid w:val="003F1984"/>
    <w:rsid w:val="003F7FD9"/>
    <w:rsid w:val="004212CF"/>
    <w:rsid w:val="00486654"/>
    <w:rsid w:val="004A2624"/>
    <w:rsid w:val="004A3D05"/>
    <w:rsid w:val="004B190F"/>
    <w:rsid w:val="004C4AE1"/>
    <w:rsid w:val="004E2FA7"/>
    <w:rsid w:val="004F7619"/>
    <w:rsid w:val="005051EE"/>
    <w:rsid w:val="00563CA1"/>
    <w:rsid w:val="005A5229"/>
    <w:rsid w:val="005C759A"/>
    <w:rsid w:val="005C799B"/>
    <w:rsid w:val="006015EF"/>
    <w:rsid w:val="00625EFC"/>
    <w:rsid w:val="00635787"/>
    <w:rsid w:val="006671F5"/>
    <w:rsid w:val="006B36A1"/>
    <w:rsid w:val="006B74CF"/>
    <w:rsid w:val="006C55E7"/>
    <w:rsid w:val="006D34F4"/>
    <w:rsid w:val="006E41BB"/>
    <w:rsid w:val="007554A4"/>
    <w:rsid w:val="0077475B"/>
    <w:rsid w:val="007A61FD"/>
    <w:rsid w:val="007B3821"/>
    <w:rsid w:val="007C1A38"/>
    <w:rsid w:val="007F1BFF"/>
    <w:rsid w:val="007F2B6B"/>
    <w:rsid w:val="00803470"/>
    <w:rsid w:val="008071B1"/>
    <w:rsid w:val="00826134"/>
    <w:rsid w:val="00892C6C"/>
    <w:rsid w:val="008D0D71"/>
    <w:rsid w:val="008D7156"/>
    <w:rsid w:val="00924FCB"/>
    <w:rsid w:val="00930EC4"/>
    <w:rsid w:val="009351B4"/>
    <w:rsid w:val="00965FF9"/>
    <w:rsid w:val="0097399D"/>
    <w:rsid w:val="0097757D"/>
    <w:rsid w:val="00991B86"/>
    <w:rsid w:val="009F1914"/>
    <w:rsid w:val="009F27FC"/>
    <w:rsid w:val="009F6660"/>
    <w:rsid w:val="00A00D1F"/>
    <w:rsid w:val="00A0683A"/>
    <w:rsid w:val="00A22102"/>
    <w:rsid w:val="00A92908"/>
    <w:rsid w:val="00A94E8C"/>
    <w:rsid w:val="00AA1051"/>
    <w:rsid w:val="00AC548B"/>
    <w:rsid w:val="00AF0E79"/>
    <w:rsid w:val="00B125B9"/>
    <w:rsid w:val="00B359E8"/>
    <w:rsid w:val="00B36B70"/>
    <w:rsid w:val="00B7381B"/>
    <w:rsid w:val="00B8272C"/>
    <w:rsid w:val="00BC05EE"/>
    <w:rsid w:val="00BC2935"/>
    <w:rsid w:val="00BC397B"/>
    <w:rsid w:val="00C4525C"/>
    <w:rsid w:val="00C55204"/>
    <w:rsid w:val="00C615F9"/>
    <w:rsid w:val="00C66BA6"/>
    <w:rsid w:val="00CD1216"/>
    <w:rsid w:val="00D23DD7"/>
    <w:rsid w:val="00D5331C"/>
    <w:rsid w:val="00D53816"/>
    <w:rsid w:val="00DC1895"/>
    <w:rsid w:val="00DD608D"/>
    <w:rsid w:val="00DF01D9"/>
    <w:rsid w:val="00DF0EE5"/>
    <w:rsid w:val="00DF56B0"/>
    <w:rsid w:val="00E1473D"/>
    <w:rsid w:val="00E41F18"/>
    <w:rsid w:val="00E46E7D"/>
    <w:rsid w:val="00E5218D"/>
    <w:rsid w:val="00E56765"/>
    <w:rsid w:val="00E612F6"/>
    <w:rsid w:val="00E64C3F"/>
    <w:rsid w:val="00E94529"/>
    <w:rsid w:val="00EB57E7"/>
    <w:rsid w:val="00EE5DB8"/>
    <w:rsid w:val="00EF5B83"/>
    <w:rsid w:val="00EF60CC"/>
    <w:rsid w:val="00F016C8"/>
    <w:rsid w:val="00F0502D"/>
    <w:rsid w:val="00F258D1"/>
    <w:rsid w:val="00F4268F"/>
    <w:rsid w:val="00F4527C"/>
    <w:rsid w:val="00F7363D"/>
    <w:rsid w:val="00F77536"/>
    <w:rsid w:val="00FB5847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5990"/>
  <w15:chartTrackingRefBased/>
  <w15:docId w15:val="{BAD08E40-011C-44D0-8763-A17BF43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-ex.com/2018/12/year-2018-regional-market-shar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-ex.com/2019/01/special-report-burgundy-spotligh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v-ex.com/2019/07/liv-ex-1000-index-gains-0-7-jul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v-ex.com/2019/07/liv-ex-1000-index-gains-0-7-ju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E04153E5A1945BA22B1763ED7AF50" ma:contentTypeVersion="10" ma:contentTypeDescription="Create a new document." ma:contentTypeScope="" ma:versionID="85e2c361f0e3c7b22d3c41e49d04663f">
  <xsd:schema xmlns:xsd="http://www.w3.org/2001/XMLSchema" xmlns:xs="http://www.w3.org/2001/XMLSchema" xmlns:p="http://schemas.microsoft.com/office/2006/metadata/properties" xmlns:ns2="870448d1-db96-4da4-8e55-94bdf4502858" xmlns:ns3="abf2777c-ae2d-4dae-9fc3-846764c18e68" targetNamespace="http://schemas.microsoft.com/office/2006/metadata/properties" ma:root="true" ma:fieldsID="a39dc7a2db6fc4921d10a443984d51fc" ns2:_="" ns3:_="">
    <xsd:import namespace="870448d1-db96-4da4-8e55-94bdf4502858"/>
    <xsd:import namespace="abf2777c-ae2d-4dae-9fc3-846764c18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48d1-db96-4da4-8e55-94bdf4502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777c-ae2d-4dae-9fc3-846764c18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52099-F62E-48C2-BE79-F1F6C3349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BC496-85C1-4BBC-968A-5D1A37588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9133A-7BE7-4C8C-A72F-6CB11BE9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448d1-db96-4da4-8e55-94bdf4502858"/>
    <ds:schemaRef ds:uri="abf2777c-ae2d-4dae-9fc3-846764c18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Lyapova</dc:creator>
  <cp:keywords/>
  <dc:description/>
  <cp:lastModifiedBy>Desislava Lyapova</cp:lastModifiedBy>
  <cp:revision>127</cp:revision>
  <cp:lastPrinted>2019-07-16T10:23:00Z</cp:lastPrinted>
  <dcterms:created xsi:type="dcterms:W3CDTF">2019-07-16T08:07:00Z</dcterms:created>
  <dcterms:modified xsi:type="dcterms:W3CDTF">2019-07-16T10:52:00Z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0x01010037DE04153E5A1945BA22B1763ED7AF50</vt:lpwstr>
  </property>
</Properties>
</file>